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24C9" w14:textId="50504DA1" w:rsidR="00514EE5" w:rsidRDefault="00514EE5" w:rsidP="00682991">
      <w:pPr>
        <w:jc w:val="right"/>
        <w:rPr>
          <w:rFonts w:ascii="Cambria" w:hAnsi="Cambria"/>
          <w:sz w:val="22"/>
          <w:szCs w:val="22"/>
        </w:rPr>
      </w:pPr>
    </w:p>
    <w:p w14:paraId="1A575167" w14:textId="2CD760C0" w:rsidR="0094445A" w:rsidRDefault="00514EE5" w:rsidP="00514EE5">
      <w:pPr>
        <w:tabs>
          <w:tab w:val="left" w:pos="645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94445A">
        <w:rPr>
          <w:b/>
          <w:bCs/>
          <w:sz w:val="28"/>
          <w:szCs w:val="28"/>
        </w:rPr>
        <w:tab/>
      </w:r>
      <w:r w:rsidR="0094445A"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Pr="00A223EE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 w:rsidRPr="00A223EE">
        <w:rPr>
          <w:rFonts w:ascii="Cambria" w:hAnsi="Cambria"/>
          <w:i w:val="0"/>
          <w:sz w:val="22"/>
          <w:szCs w:val="22"/>
        </w:rPr>
        <w:t>MATRYCA ZGODNOŚCI</w:t>
      </w:r>
    </w:p>
    <w:p w14:paraId="35828BC4" w14:textId="77777777" w:rsidR="0046740F" w:rsidRDefault="0046740F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46740F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Zakup, dostawa i instalacja mikroskopu fluorescencyjnego do obserwacji stereoskopowych wraz z oprzyrządowaniem </w:t>
      </w:r>
    </w:p>
    <w:p w14:paraId="60696F78" w14:textId="6C38BEA2" w:rsidR="001F655C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(znak: 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ADZ.261.7</w:t>
      </w:r>
      <w:r w:rsidR="0046740F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2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.2020</w:t>
      </w: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)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14:paraId="2EA354DA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830"/>
        <w:gridCol w:w="1378"/>
        <w:gridCol w:w="2176"/>
      </w:tblGrid>
      <w:tr w:rsidR="0094445A" w:rsidRPr="00EF4380" w14:paraId="64F0F265" w14:textId="77777777" w:rsidTr="00A223EE">
        <w:trPr>
          <w:jc w:val="center"/>
        </w:trPr>
        <w:tc>
          <w:tcPr>
            <w:tcW w:w="9060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00453BAA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 xml:space="preserve">ego </w:t>
            </w:r>
            <w:r w:rsidR="0046740F">
              <w:rPr>
                <w:rFonts w:ascii="Cambria" w:hAnsi="Cambria"/>
                <w:b/>
                <w:sz w:val="22"/>
                <w:szCs w:val="22"/>
              </w:rPr>
              <w:t>mikroskopu fluorescencyjnego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>: ……………………………………………….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B34FCB">
        <w:trPr>
          <w:jc w:val="center"/>
        </w:trPr>
        <w:tc>
          <w:tcPr>
            <w:tcW w:w="676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4830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A223EE" w:rsidRPr="00EF4380" w14:paraId="49F2830F" w14:textId="77777777" w:rsidTr="00B34FCB">
        <w:trPr>
          <w:trHeight w:val="357"/>
          <w:jc w:val="center"/>
        </w:trPr>
        <w:tc>
          <w:tcPr>
            <w:tcW w:w="676" w:type="dxa"/>
          </w:tcPr>
          <w:p w14:paraId="0EABDAF4" w14:textId="7EB6818F" w:rsidR="00A223EE" w:rsidRPr="00A223EE" w:rsidRDefault="00A223EE" w:rsidP="007632C9">
            <w:pPr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I.</w:t>
            </w:r>
          </w:p>
        </w:tc>
        <w:tc>
          <w:tcPr>
            <w:tcW w:w="8384" w:type="dxa"/>
            <w:gridSpan w:val="3"/>
            <w:vAlign w:val="center"/>
          </w:tcPr>
          <w:p w14:paraId="3C6D58C0" w14:textId="742CE816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  <w:sz w:val="22"/>
                <w:szCs w:val="22"/>
              </w:rPr>
              <w:t>Głowica mikroskopu:</w:t>
            </w:r>
          </w:p>
        </w:tc>
      </w:tr>
      <w:tr w:rsidR="0094445A" w:rsidRPr="00EF4380" w14:paraId="5C382BDF" w14:textId="77777777" w:rsidTr="00B34FCB">
        <w:trPr>
          <w:trHeight w:val="357"/>
          <w:jc w:val="center"/>
        </w:trPr>
        <w:tc>
          <w:tcPr>
            <w:tcW w:w="676" w:type="dxa"/>
          </w:tcPr>
          <w:p w14:paraId="779AB0F6" w14:textId="104B648C" w:rsidR="0094445A" w:rsidRPr="00EF4380" w:rsidRDefault="00A223EE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830" w:type="dxa"/>
            <w:vAlign w:val="center"/>
          </w:tcPr>
          <w:p w14:paraId="4C1F5211" w14:textId="0182EC2F" w:rsidR="0094445A" w:rsidRPr="00A223EE" w:rsidRDefault="00A223EE" w:rsidP="006E100D">
            <w:pPr>
              <w:snapToGrid w:val="0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z zakresem zoom min. 16 : 1, z optyką klasy apochromatycznej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689C2EB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AB9FD5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99B4C9" w14:textId="77777777" w:rsidTr="00B34FCB">
        <w:trPr>
          <w:trHeight w:val="357"/>
          <w:jc w:val="center"/>
        </w:trPr>
        <w:tc>
          <w:tcPr>
            <w:tcW w:w="676" w:type="dxa"/>
          </w:tcPr>
          <w:p w14:paraId="71F7F83A" w14:textId="090F4DCF" w:rsidR="0094445A" w:rsidRPr="00EF4380" w:rsidRDefault="00A223EE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  <w:vAlign w:val="center"/>
          </w:tcPr>
          <w:p w14:paraId="4124E773" w14:textId="32A510D1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apertura numeryczna NA=0,25 lub lepsza, regulowana automatycznie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FCFF5C1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813B1D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CB04F2F" w14:textId="77777777" w:rsidTr="00B34FCB">
        <w:trPr>
          <w:trHeight w:val="357"/>
          <w:jc w:val="center"/>
        </w:trPr>
        <w:tc>
          <w:tcPr>
            <w:tcW w:w="676" w:type="dxa"/>
          </w:tcPr>
          <w:p w14:paraId="21B9414A" w14:textId="5603AB30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  <w:vAlign w:val="center"/>
          </w:tcPr>
          <w:p w14:paraId="3D43A070" w14:textId="77777777" w:rsidR="00A223EE" w:rsidRPr="00553E05" w:rsidRDefault="00A223EE" w:rsidP="00A223EE">
            <w:pPr>
              <w:ind w:left="142" w:hanging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553E05">
              <w:rPr>
                <w:rFonts w:ascii="Cambria" w:hAnsi="Cambria"/>
              </w:rPr>
              <w:t>motoryzowany zoom połączony z przesłoną irysową umożliwiający optymalizację parametrów dla różnych trybów obserwacji:</w:t>
            </w:r>
          </w:p>
          <w:p w14:paraId="666ECB84" w14:textId="77777777" w:rsidR="00A223EE" w:rsidRPr="00553E05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tryb maksymalnej jasności w całym zakresie zoom</w:t>
            </w:r>
            <w:r>
              <w:rPr>
                <w:rFonts w:ascii="Cambria" w:hAnsi="Cambria"/>
              </w:rPr>
              <w:t>,</w:t>
            </w:r>
          </w:p>
          <w:p w14:paraId="68F6674A" w14:textId="77777777" w:rsidR="00A223EE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tryb obserwacji o maksymalnej głębi ostrości</w:t>
            </w:r>
            <w:r>
              <w:rPr>
                <w:rFonts w:ascii="Cambria" w:hAnsi="Cambria"/>
              </w:rPr>
              <w:t>,</w:t>
            </w:r>
          </w:p>
          <w:p w14:paraId="38D8A9D8" w14:textId="4FE5813A" w:rsidR="0094445A" w:rsidRPr="00A223EE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A223EE">
              <w:rPr>
                <w:rFonts w:ascii="Cambria" w:hAnsi="Cambria"/>
              </w:rPr>
              <w:t>tryb optymalnego kontrastu przy rejestracji obrazu za pomocą kamery</w:t>
            </w:r>
          </w:p>
        </w:tc>
        <w:tc>
          <w:tcPr>
            <w:tcW w:w="1378" w:type="dxa"/>
          </w:tcPr>
          <w:p w14:paraId="6AF8A14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5F500A84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7A0585CA" w14:textId="77777777" w:rsidTr="00B34FCB">
        <w:trPr>
          <w:trHeight w:val="357"/>
          <w:jc w:val="center"/>
        </w:trPr>
        <w:tc>
          <w:tcPr>
            <w:tcW w:w="676" w:type="dxa"/>
          </w:tcPr>
          <w:p w14:paraId="32DA80C3" w14:textId="5249BAF2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II.</w:t>
            </w:r>
          </w:p>
        </w:tc>
        <w:tc>
          <w:tcPr>
            <w:tcW w:w="8384" w:type="dxa"/>
            <w:gridSpan w:val="3"/>
            <w:vAlign w:val="center"/>
          </w:tcPr>
          <w:p w14:paraId="4DE23484" w14:textId="5F1B71AC" w:rsidR="00A223EE" w:rsidRPr="00A223EE" w:rsidRDefault="00A223EE" w:rsidP="00A223EE">
            <w:pPr>
              <w:rPr>
                <w:rFonts w:ascii="Cambria" w:hAnsi="Cambria"/>
                <w:b/>
                <w:bCs/>
              </w:rPr>
            </w:pPr>
            <w:r w:rsidRPr="00553E05">
              <w:rPr>
                <w:rFonts w:ascii="Cambria" w:hAnsi="Cambria"/>
                <w:b/>
                <w:bCs/>
              </w:rPr>
              <w:t>Optyka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68828418" w14:textId="77777777" w:rsidTr="00B34FCB">
        <w:trPr>
          <w:trHeight w:val="357"/>
          <w:jc w:val="center"/>
        </w:trPr>
        <w:tc>
          <w:tcPr>
            <w:tcW w:w="676" w:type="dxa"/>
          </w:tcPr>
          <w:p w14:paraId="40EA8E6B" w14:textId="0AA21DD1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</w:t>
            </w:r>
          </w:p>
        </w:tc>
        <w:tc>
          <w:tcPr>
            <w:tcW w:w="4830" w:type="dxa"/>
            <w:vAlign w:val="center"/>
          </w:tcPr>
          <w:p w14:paraId="5326304E" w14:textId="718F5E2F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kulary 2 szt. 10x/23B z korekcją dioptrii w zakresie min. +/- 5 dioptrii oraz muszlami ocznymi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7B180A3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44C91CE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3841950E" w14:textId="77777777" w:rsidTr="00B34FCB">
        <w:trPr>
          <w:trHeight w:val="357"/>
          <w:jc w:val="center"/>
        </w:trPr>
        <w:tc>
          <w:tcPr>
            <w:tcW w:w="676" w:type="dxa"/>
          </w:tcPr>
          <w:p w14:paraId="72127B03" w14:textId="2C818E80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  <w:vAlign w:val="center"/>
          </w:tcPr>
          <w:p w14:paraId="64C69260" w14:textId="264F34BD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inimalne pole widzenia pod okularem od 33 mm do 0,9 mm (z zaoferowanymi obiektywami i okularami)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0EA5B9F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9C9A81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28E9171C" w14:textId="77777777" w:rsidTr="00B34FCB">
        <w:trPr>
          <w:trHeight w:val="357"/>
          <w:jc w:val="center"/>
        </w:trPr>
        <w:tc>
          <w:tcPr>
            <w:tcW w:w="676" w:type="dxa"/>
          </w:tcPr>
          <w:p w14:paraId="46FFFDBF" w14:textId="3D36C6E9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  <w:vAlign w:val="center"/>
          </w:tcPr>
          <w:p w14:paraId="2102BB52" w14:textId="1BB84996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biektyw planarny z korekcją aberracji chromatycznych o powiększeniu 1.0x, min.</w:t>
            </w:r>
            <w:r>
              <w:rPr>
                <w:rFonts w:ascii="Cambria" w:hAnsi="Cambria"/>
              </w:rPr>
              <w:t>,</w:t>
            </w:r>
            <w:r w:rsidRPr="00553E05">
              <w:rPr>
                <w:rFonts w:ascii="Cambria" w:hAnsi="Cambria"/>
              </w:rPr>
              <w:t xml:space="preserve"> aperturze numerycznej 0.25 oraz min. odległości roboczej co najmniej 56mm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00D90B3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18FE8F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4BC7C8C7" w14:textId="77777777" w:rsidTr="00B34FCB">
        <w:trPr>
          <w:trHeight w:val="453"/>
          <w:jc w:val="center"/>
        </w:trPr>
        <w:tc>
          <w:tcPr>
            <w:tcW w:w="676" w:type="dxa"/>
          </w:tcPr>
          <w:p w14:paraId="1128682D" w14:textId="4E2E2BC2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830" w:type="dxa"/>
            <w:vAlign w:val="center"/>
          </w:tcPr>
          <w:p w14:paraId="3A1B0E89" w14:textId="4CDA60E0" w:rsidR="0094445A" w:rsidRPr="00A223EE" w:rsidRDefault="00A223EE" w:rsidP="00A223EE">
            <w:pPr>
              <w:ind w:left="142" w:hanging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biektyw planarny z korekcją aberracji chromatycznych o powiększeniu 2.3x ± 0.1, min. aperturze numerycznej 0.57 oraz min. odległości roboczej co najmniej 10mm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B0971D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461174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53E91E1F" w14:textId="77777777" w:rsidTr="00B34FCB">
        <w:trPr>
          <w:trHeight w:val="453"/>
          <w:jc w:val="center"/>
        </w:trPr>
        <w:tc>
          <w:tcPr>
            <w:tcW w:w="676" w:type="dxa"/>
          </w:tcPr>
          <w:p w14:paraId="4A6E5209" w14:textId="40296AC9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4830" w:type="dxa"/>
            <w:vAlign w:val="center"/>
          </w:tcPr>
          <w:p w14:paraId="054DF1A6" w14:textId="599539E1" w:rsidR="0094445A" w:rsidRPr="00A223EE" w:rsidRDefault="00A223EE" w:rsidP="00A22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ożliwość ustawienia parfokalności pomiędzy obiektywami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1A3C20A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FBCAA9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52569D" w14:textId="77777777" w:rsidTr="00B34FCB">
        <w:trPr>
          <w:trHeight w:val="453"/>
          <w:jc w:val="center"/>
        </w:trPr>
        <w:tc>
          <w:tcPr>
            <w:tcW w:w="676" w:type="dxa"/>
          </w:tcPr>
          <w:p w14:paraId="31357F1A" w14:textId="55D13565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4830" w:type="dxa"/>
            <w:vAlign w:val="center"/>
          </w:tcPr>
          <w:p w14:paraId="4E3CA859" w14:textId="12486AB4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Pr="00553E05">
              <w:rPr>
                <w:rFonts w:ascii="Cambria" w:hAnsi="Cambria"/>
              </w:rPr>
              <w:t>ubus z regulacją rozstawu okularów z wyjściem do dokumentacji o 2-pozycyjnym podziale światła 100 : 0/0 : 100%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08133B79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4DD3BF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4816077A" w14:textId="77777777" w:rsidTr="00B34FCB">
        <w:trPr>
          <w:trHeight w:val="453"/>
          <w:jc w:val="center"/>
        </w:trPr>
        <w:tc>
          <w:tcPr>
            <w:tcW w:w="676" w:type="dxa"/>
          </w:tcPr>
          <w:p w14:paraId="6FD17D61" w14:textId="7BE67E46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4830" w:type="dxa"/>
            <w:vAlign w:val="center"/>
          </w:tcPr>
          <w:p w14:paraId="3FE2C5B3" w14:textId="2011B855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553E05">
              <w:rPr>
                <w:rFonts w:ascii="Cambria" w:hAnsi="Cambria"/>
              </w:rPr>
              <w:t>odowany zmieniacz obiektywów z miejscem na co najmniej 2 obiektywy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</w:tcPr>
          <w:p w14:paraId="79C72B3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8D17F8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4D761968" w14:textId="77777777" w:rsidTr="00B34FCB">
        <w:trPr>
          <w:trHeight w:val="453"/>
          <w:jc w:val="center"/>
        </w:trPr>
        <w:tc>
          <w:tcPr>
            <w:tcW w:w="676" w:type="dxa"/>
          </w:tcPr>
          <w:p w14:paraId="1029BE52" w14:textId="4E69DB4D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III.</w:t>
            </w:r>
          </w:p>
        </w:tc>
        <w:tc>
          <w:tcPr>
            <w:tcW w:w="8384" w:type="dxa"/>
            <w:gridSpan w:val="3"/>
          </w:tcPr>
          <w:p w14:paraId="1686D3C0" w14:textId="3638E19A" w:rsidR="00A223EE" w:rsidRPr="0046740F" w:rsidRDefault="00A223EE" w:rsidP="007632C9">
            <w:pPr>
              <w:snapToGrid w:val="0"/>
              <w:rPr>
                <w:rFonts w:ascii="Cambria" w:hAnsi="Cambria"/>
                <w:highlight w:val="yellow"/>
              </w:rPr>
            </w:pPr>
            <w:r w:rsidRPr="00811EAD">
              <w:rPr>
                <w:rFonts w:ascii="Cambria" w:hAnsi="Cambria"/>
                <w:b/>
                <w:bCs/>
              </w:rPr>
              <w:t>Statyw mikroskopu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6C4CFFDA" w14:textId="77777777" w:rsidTr="00B34FCB">
        <w:trPr>
          <w:trHeight w:val="453"/>
          <w:jc w:val="center"/>
        </w:trPr>
        <w:tc>
          <w:tcPr>
            <w:tcW w:w="676" w:type="dxa"/>
          </w:tcPr>
          <w:p w14:paraId="46B98E83" w14:textId="4E6AA599" w:rsidR="0094445A" w:rsidRPr="00F02878" w:rsidRDefault="0094445A" w:rsidP="00A223EE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223EE">
              <w:rPr>
                <w:rFonts w:ascii="Cambria" w:hAnsi="Cambria"/>
              </w:rPr>
              <w:t>.</w:t>
            </w:r>
          </w:p>
        </w:tc>
        <w:tc>
          <w:tcPr>
            <w:tcW w:w="4830" w:type="dxa"/>
          </w:tcPr>
          <w:p w14:paraId="3868BE04" w14:textId="77777777" w:rsidR="00A223EE" w:rsidRPr="00553E05" w:rsidRDefault="00A223EE" w:rsidP="00A223EE">
            <w:pPr>
              <w:ind w:left="142" w:hanging="142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z kolumną o wysokości min. 490mm ze zmotoryzowanym układem nastawiania ostrości, przesuw zębatkowy po kolumnie</w:t>
            </w:r>
            <w:r>
              <w:rPr>
                <w:rFonts w:ascii="Cambria" w:hAnsi="Cambria"/>
              </w:rPr>
              <w:t>,</w:t>
            </w:r>
          </w:p>
          <w:p w14:paraId="3E56AA48" w14:textId="5A8A5778" w:rsidR="0094445A" w:rsidRPr="00A223EE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1DCF6579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8749A3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4234B97" w14:textId="77777777" w:rsidTr="00B34FCB">
        <w:trPr>
          <w:trHeight w:val="453"/>
          <w:jc w:val="center"/>
        </w:trPr>
        <w:tc>
          <w:tcPr>
            <w:tcW w:w="676" w:type="dxa"/>
          </w:tcPr>
          <w:p w14:paraId="671EEFD2" w14:textId="31691F6E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</w:tcPr>
          <w:p w14:paraId="2E1CA8C3" w14:textId="09397875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recyzyjny układ nastawiania ostrości i zmiany położenia w osi Z za pomocą śruby mikro- oraz makro-metrycznej. Możliwość zainstalowania śruby na kolumnie mikroskopu lub na niezależnym pane</w:t>
            </w:r>
            <w:r>
              <w:rPr>
                <w:rFonts w:ascii="Cambria" w:hAnsi="Cambria"/>
              </w:rPr>
              <w:t>lu umieszczanym na blacie stołu,</w:t>
            </w:r>
          </w:p>
        </w:tc>
        <w:tc>
          <w:tcPr>
            <w:tcW w:w="1378" w:type="dxa"/>
          </w:tcPr>
          <w:p w14:paraId="1C831EBA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D3E8FE6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3F7E17EB" w14:textId="77777777" w:rsidTr="00B34FCB">
        <w:trPr>
          <w:trHeight w:val="453"/>
          <w:jc w:val="center"/>
        </w:trPr>
        <w:tc>
          <w:tcPr>
            <w:tcW w:w="676" w:type="dxa"/>
          </w:tcPr>
          <w:p w14:paraId="29179C06" w14:textId="24B88097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</w:tcPr>
          <w:p w14:paraId="0E6FF6EF" w14:textId="0979F1E2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Pr="00553E05">
              <w:rPr>
                <w:rFonts w:ascii="Cambria" w:hAnsi="Cambria"/>
              </w:rPr>
              <w:t>otykowy panel sterujący powiększeniem, ostrością, oraz zmianą filtrów i siły światła fluorescencyjnego, z joystickiem i dodatkowymi przyciskami funkcyjnymi z możliwością zaprogramowania ich funkcji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7860DBC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6DC60E6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614AFF51" w14:textId="77777777" w:rsidTr="00B34FCB">
        <w:trPr>
          <w:trHeight w:val="453"/>
          <w:jc w:val="center"/>
        </w:trPr>
        <w:tc>
          <w:tcPr>
            <w:tcW w:w="676" w:type="dxa"/>
          </w:tcPr>
          <w:p w14:paraId="63686D55" w14:textId="2C8F364F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830" w:type="dxa"/>
          </w:tcPr>
          <w:p w14:paraId="3837435A" w14:textId="12CE3FB4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ołączenie mikroskopu do komputera za pomocą złącza USB, umożliwiające sterowanie funkcjami mikroskopu z oprogramowania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B1F95A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5BC3BB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67412613" w14:textId="77777777" w:rsidTr="00B34FCB">
        <w:trPr>
          <w:trHeight w:val="189"/>
          <w:jc w:val="center"/>
        </w:trPr>
        <w:tc>
          <w:tcPr>
            <w:tcW w:w="676" w:type="dxa"/>
          </w:tcPr>
          <w:p w14:paraId="1531B699" w14:textId="646716C5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4830" w:type="dxa"/>
          </w:tcPr>
          <w:p w14:paraId="61D0D9AE" w14:textId="1CE29691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553E05">
              <w:rPr>
                <w:rFonts w:ascii="Cambria" w:hAnsi="Cambria"/>
              </w:rPr>
              <w:t>ntystatyczna osłona od kurzu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</w:tcPr>
          <w:p w14:paraId="243BD95B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70E362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45BAF1CD" w14:textId="77777777" w:rsidTr="00B34FCB">
        <w:trPr>
          <w:trHeight w:val="453"/>
          <w:jc w:val="center"/>
        </w:trPr>
        <w:tc>
          <w:tcPr>
            <w:tcW w:w="676" w:type="dxa"/>
          </w:tcPr>
          <w:p w14:paraId="495E9CEA" w14:textId="11093C9E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IV.</w:t>
            </w:r>
          </w:p>
        </w:tc>
        <w:tc>
          <w:tcPr>
            <w:tcW w:w="8384" w:type="dxa"/>
            <w:gridSpan w:val="3"/>
          </w:tcPr>
          <w:p w14:paraId="0F442E90" w14:textId="5F91D0D5" w:rsidR="00A223EE" w:rsidRPr="00A223EE" w:rsidRDefault="00A223EE" w:rsidP="00A223EE">
            <w:pPr>
              <w:rPr>
                <w:rFonts w:ascii="Cambria" w:hAnsi="Cambria"/>
                <w:b/>
                <w:bCs/>
              </w:rPr>
            </w:pPr>
            <w:r w:rsidRPr="00B40BCB">
              <w:rPr>
                <w:rFonts w:ascii="Cambria" w:hAnsi="Cambria"/>
                <w:b/>
                <w:bCs/>
              </w:rPr>
              <w:t>Oświetlenie do światła przechodzącego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473B86FC" w14:textId="77777777" w:rsidTr="00B34FCB">
        <w:trPr>
          <w:trHeight w:val="453"/>
          <w:jc w:val="center"/>
        </w:trPr>
        <w:tc>
          <w:tcPr>
            <w:tcW w:w="676" w:type="dxa"/>
          </w:tcPr>
          <w:p w14:paraId="2FDB14C0" w14:textId="001331FA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830" w:type="dxa"/>
          </w:tcPr>
          <w:p w14:paraId="02B7C3F9" w14:textId="36A6BD7A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 xml:space="preserve">odstawa mikroskopu o wymiarach min. 320 X 370 mm i wysokości max. 45 mm z wbudowanym oświetleniem typu LED do </w:t>
            </w:r>
            <w:r w:rsidRPr="00553E05">
              <w:rPr>
                <w:rFonts w:ascii="Cambria" w:hAnsi="Cambria"/>
              </w:rPr>
              <w:lastRenderedPageBreak/>
              <w:t>światła przechodzącego z regulacja natężenia światła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5EE5E01A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3D32B9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0F0B78" w14:textId="77777777" w:rsidTr="00B34FCB">
        <w:trPr>
          <w:trHeight w:val="453"/>
          <w:jc w:val="center"/>
        </w:trPr>
        <w:tc>
          <w:tcPr>
            <w:tcW w:w="676" w:type="dxa"/>
          </w:tcPr>
          <w:p w14:paraId="46595C12" w14:textId="15E2639C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</w:tcPr>
          <w:p w14:paraId="469B2ACF" w14:textId="77777777" w:rsidR="00A223EE" w:rsidRDefault="00A223EE" w:rsidP="00A223EE">
            <w:pPr>
              <w:ind w:left="142" w:hanging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553E05">
              <w:rPr>
                <w:rFonts w:ascii="Cambria" w:hAnsi="Cambria"/>
              </w:rPr>
              <w:t>ystem obrotowego uchwytu pozwalający na wybór technik obserwacji w świetle przechodzącym np.</w:t>
            </w:r>
            <w:r>
              <w:rPr>
                <w:rFonts w:ascii="Cambria" w:hAnsi="Cambria"/>
              </w:rPr>
              <w:t xml:space="preserve"> </w:t>
            </w:r>
            <w:r w:rsidRPr="00553E05">
              <w:rPr>
                <w:rFonts w:ascii="Cambria" w:hAnsi="Cambria"/>
              </w:rPr>
              <w:t>obserwacja w jasnympolu; obserwacja w ciemnym polu; kontr</w:t>
            </w:r>
            <w:r>
              <w:rPr>
                <w:rFonts w:ascii="Cambria" w:hAnsi="Cambria"/>
              </w:rPr>
              <w:t>ast reliefowy w świetle skośnym.</w:t>
            </w:r>
          </w:p>
          <w:p w14:paraId="6D2E0976" w14:textId="0DFBCA5A" w:rsidR="0094445A" w:rsidRPr="00A223EE" w:rsidRDefault="0094445A" w:rsidP="00751C9F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1A2DD56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B617D41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2F513CA" w14:textId="77777777" w:rsidTr="00B34FCB">
        <w:trPr>
          <w:trHeight w:val="453"/>
          <w:jc w:val="center"/>
        </w:trPr>
        <w:tc>
          <w:tcPr>
            <w:tcW w:w="676" w:type="dxa"/>
          </w:tcPr>
          <w:p w14:paraId="483ECF1D" w14:textId="308E6591" w:rsidR="00961EC3" w:rsidRPr="00CA383F" w:rsidRDefault="00961EC3" w:rsidP="00B5177C">
            <w:pPr>
              <w:rPr>
                <w:rFonts w:ascii="Cambria" w:hAnsi="Cambria"/>
              </w:rPr>
            </w:pPr>
            <w:r w:rsidRPr="00961EC3">
              <w:rPr>
                <w:rFonts w:ascii="Cambria" w:hAnsi="Cambria"/>
                <w:b/>
                <w:bCs/>
              </w:rPr>
              <w:t>V.</w:t>
            </w:r>
          </w:p>
        </w:tc>
        <w:tc>
          <w:tcPr>
            <w:tcW w:w="8384" w:type="dxa"/>
            <w:gridSpan w:val="3"/>
            <w:vAlign w:val="center"/>
          </w:tcPr>
          <w:p w14:paraId="10DD4036" w14:textId="5826FF4F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Oświetlenie do fluorescencji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C757D2" w:rsidRPr="00CA383F" w14:paraId="1A45EBC9" w14:textId="77777777" w:rsidTr="00B34FCB">
        <w:trPr>
          <w:trHeight w:val="69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62454255" w:rsidR="00C757D2" w:rsidRPr="00C757D2" w:rsidRDefault="00961EC3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706" w14:textId="234D5761" w:rsidR="00C757D2" w:rsidRPr="00A223EE" w:rsidRDefault="00961EC3" w:rsidP="00C7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świetlacz halidkowy do fluorescencji o mocy min. 200 W, połączony światłowodem z mikroskopem,</w:t>
            </w:r>
            <w:r>
              <w:rPr>
                <w:rFonts w:ascii="Cambria" w:hAnsi="Cambria"/>
              </w:rPr>
              <w:t xml:space="preserve"> </w:t>
            </w:r>
            <w:r w:rsidRPr="00553E05">
              <w:rPr>
                <w:rFonts w:ascii="Cambria" w:hAnsi="Cambria"/>
              </w:rPr>
              <w:t xml:space="preserve"> z możliwością zmiany natężenia świecenia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C757D2" w:rsidRPr="00CA383F" w14:paraId="1AE7E513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3E641A0B" w:rsidR="00C757D2" w:rsidRPr="00C757D2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2B60" w14:textId="1076982C" w:rsidR="00C757D2" w:rsidRPr="00A223EE" w:rsidRDefault="00961EC3" w:rsidP="00C7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553E05">
              <w:rPr>
                <w:rFonts w:ascii="Cambria" w:hAnsi="Cambria"/>
              </w:rPr>
              <w:t>ampa o żywotności min. 2000 h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251D51" w:rsidRPr="00CA383F" w14:paraId="5C42047B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34A3147E" w:rsidR="00251D51" w:rsidRPr="00C757D2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F6EA" w14:textId="61E0191B" w:rsidR="00251D51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inimum 4 – pozycyjna (zmotoryzowana karuzela filtrów fluorescencyjnych z funkcją automatycznego rozpoznawania filtrów fluorescencyjnych</w:t>
            </w:r>
            <w:r>
              <w:rPr>
                <w:rFonts w:ascii="Cambria" w:hAnsi="Cambria"/>
              </w:rPr>
              <w:t>),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520C1FAB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8E2" w14:textId="34FAA120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CAE" w14:textId="17B489EF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553E05">
              <w:rPr>
                <w:rFonts w:ascii="Cambria" w:hAnsi="Cambria"/>
              </w:rPr>
              <w:t>motoryzowana przysłona polowa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C5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F6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43C5237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98B" w14:textId="041C5B10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41E" w14:textId="181C122A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przysłona źródła światła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F0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0DA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255734A2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CAB" w14:textId="07F18404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BE3" w14:textId="63E40A7F" w:rsidR="00961EC3" w:rsidRPr="00A223EE" w:rsidRDefault="00961EC3" w:rsidP="00B5177C">
            <w:pPr>
              <w:rPr>
                <w:rFonts w:ascii="Cambria" w:hAnsi="Cambria"/>
              </w:rPr>
            </w:pPr>
            <w:r>
              <w:t>u</w:t>
            </w:r>
            <w:r w:rsidRPr="00553E05">
              <w:t>kład kostek filtrów fluorescencyjnych montowany w rewolwerze obrotowym bez użycia narzędzi Zestaw min. 3 pojedynczych filtrów fluorescencyjnych: DAPI, GFP, mCherry</w:t>
            </w:r>
            <w: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44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EC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713D808C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EAD" w14:textId="730203D0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8D5" w14:textId="2C4DB80C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Stolik przesuwny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4179FC1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D4D" w14:textId="6BDF8BD3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32E1" w14:textId="070463DC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o powierzchni min. 320x250mm, z pokrętłem przesuwu umieszczonym po prawej stronie, przesuw w zakresie min. 150x100mm, z płytką szklaną oraz uchwytem na szkiełka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EC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D5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5B9592C0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965" w14:textId="40A78E9F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11B" w14:textId="6BCF0819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Kamera cyfrowa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2505B1D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907" w14:textId="3C6A53AB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785" w14:textId="77777777" w:rsidR="00961EC3" w:rsidRPr="00553E05" w:rsidRDefault="00961EC3" w:rsidP="00961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onochromatyczna kamera cyfrowa z gwintem typu C ze złączem typu USB 3.0,</w:t>
            </w:r>
          </w:p>
          <w:p w14:paraId="6C65FCE2" w14:textId="331FE3A8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 xml:space="preserve"> adapter do podłączenia kamery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64E9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D6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3D2157E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A6A" w14:textId="097973D4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804" w14:textId="2654FEC6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553E05">
              <w:rPr>
                <w:rFonts w:ascii="Cambria" w:hAnsi="Cambria"/>
              </w:rPr>
              <w:t>amera z matrycą typu CMOS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5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1A7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285DEA7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E64" w14:textId="7B22F8E6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756" w14:textId="4DD9952C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553E05">
              <w:rPr>
                <w:rFonts w:ascii="Cambria" w:hAnsi="Cambria"/>
              </w:rPr>
              <w:t>ozdzielczość: min. 2460 x 2050 pikseli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C0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B58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FF8EAB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4DC" w14:textId="07B390E2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DBF" w14:textId="0E62469F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553E05">
              <w:rPr>
                <w:rFonts w:ascii="Cambria" w:hAnsi="Cambria"/>
              </w:rPr>
              <w:t>ielkość piksela: min. 3.45 μm x 3.45 μm ± 0.05 μm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95A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7AE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BBE9FB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36A" w14:textId="0EC9F55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8B" w14:textId="7985251B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553E05">
              <w:rPr>
                <w:rFonts w:ascii="Cambria" w:hAnsi="Cambria"/>
              </w:rPr>
              <w:t>ielkość chipa: min. 2/3” (8.5 mm x 7.1 mm)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7C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CA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7E75152D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7F2" w14:textId="03ED821C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4EE" w14:textId="32925E7D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553E05">
              <w:rPr>
                <w:rFonts w:ascii="Cambria" w:hAnsi="Cambria"/>
              </w:rPr>
              <w:t>hłodzenie w układzie Peltier stabilizowane do temperatury ok. &lt;= 18ºC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C6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0F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0042463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32F" w14:textId="49A5250B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7.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B62" w14:textId="42DF01E9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553E05">
              <w:rPr>
                <w:rFonts w:ascii="Cambria" w:hAnsi="Cambria"/>
              </w:rPr>
              <w:t>zasy ekspozycji regulowane w zakresie. 0,1ms – 60s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B7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38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DD3AC2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5EC" w14:textId="00591533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0B6" w14:textId="40B20DF0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 w:rsidRPr="00553E05">
              <w:rPr>
                <w:rFonts w:ascii="Cambria" w:hAnsi="Cambria"/>
              </w:rPr>
              <w:t>unkcja biningu od 1x1 do 5x5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44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CC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0CEEE95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362" w14:textId="748EF8E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56C" w14:textId="403A414D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rędkość rejestracji przy pełnej rozdzielczości min. 30 ramek/s.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C8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3F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6647AAE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146" w14:textId="40698022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VIII.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825" w14:textId="16BC2D29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Komputer o parametrach minimalnych:</w:t>
            </w:r>
          </w:p>
        </w:tc>
      </w:tr>
      <w:tr w:rsidR="00961EC3" w:rsidRPr="00CA383F" w14:paraId="0EBCF79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436" w14:textId="57A3F5F8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8AE" w14:textId="7D1BE901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rocesor Intel i5 min. 6-rdzeniowy, pamięć co najmniej 16 GB,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59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009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943BC9D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317" w14:textId="48201CE9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B4D" w14:textId="7F6D8CC0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dyski: 1x SSD min. 240 GB (systemowy), 1x HDD min. 2 TB (dane), napęd optyczny DVD, karta graficzna 2GB,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75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DB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977A0D9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BAE" w14:textId="1301ED1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856" w14:textId="743283CA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obudowa MIDI z zasilaczem min. 450 W, klawiatura, mysz,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B3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24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B1167C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C9C" w14:textId="4BF23C8A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61A" w14:textId="5BED73D3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Windows 10 Prof. EN, listwa zasilająca, monitor 24" 1920x1080 Full HD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D9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AA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1E889ED5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6D7" w14:textId="5DB547B3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B34FCB">
              <w:rPr>
                <w:rFonts w:ascii="Cambria" w:hAnsi="Cambria"/>
                <w:b/>
                <w:bCs/>
              </w:rPr>
              <w:t>IX.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525" w14:textId="49044144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Oprogramowanie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52FCDAF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AF2" w14:textId="4348AFB6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A93" w14:textId="76C9D902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oprogramowania pochodzący od tego samego producenta co mikroskop pracujący w trybie 64-bitowym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27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D4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FCBC06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05D" w14:textId="5689A312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72F" w14:textId="395D0E08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do rejestracji obrazu z możliwością podglądu obrazu w trybie rzeczywistym na komputerze, możliwość automatycznego wyskalowania i pomiarów w skali rzeczywistej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96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9B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71CCD55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01C" w14:textId="7941CE17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C32" w14:textId="78C8408E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do manualnego składania obrazów z różnych płaszczyzn ostrości w jeden wynikowy ostry obraz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4E7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A7B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CF49B9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A0D" w14:textId="6C8C3F6A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2F1" w14:textId="5B03FAC3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do manualnego składania obrazów z różnych pozycji xy w jeden wynikowy obraz o większym polu widzenia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8CF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E3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69449C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6A0" w14:textId="5B69B779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A6DF" w14:textId="7D7A36FF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oduł do zbierania sekwencji obrazów wraz ze zmianą położenia w osi Z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E78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A0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4C783F2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2B4" w14:textId="01B08171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44E" w14:textId="2348FD23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oduł do zbierania sekwencji w czasie z możliwością definiowania przerwy między kolejnymi zdjęciami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A4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5A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C6CC893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A4C" w14:textId="3A592B86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D837" w14:textId="706B7891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programowanie umożliwiające akwizycje obrazów, importowanie i eksportowanie obrazów w kilkunastu dostępnych formatach (min. bmp, tif, jpg, img), obróbkę obrazu (jasność, kontrast, gamma, wyostrzanie/wygładzanie, redukcja szumów, balans bieli, korekcja tła i cieni), wprowadzanie opisów do obrazów, pomiary interaktywne (długość, obszar, obwód), archiwizację obrazów.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15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BA6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55C830C4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EC3" w14:textId="3E620187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B34FCB">
              <w:rPr>
                <w:rFonts w:ascii="Cambria" w:hAnsi="Cambria"/>
                <w:b/>
                <w:bCs/>
              </w:rPr>
              <w:lastRenderedPageBreak/>
              <w:t>X.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201" w14:textId="3B5E7CEE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>Wymagania dodatkowe:</w:t>
            </w:r>
          </w:p>
        </w:tc>
      </w:tr>
      <w:tr w:rsidR="00961EC3" w:rsidRPr="00CA383F" w14:paraId="7185CC47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606" w14:textId="5CB8D240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D3C" w14:textId="37E37F4E" w:rsidR="00961EC3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gwarancja jakości oraz rękojmię za wady przez okres minimum 12 miesięcy,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47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84B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251D51" w:rsidRPr="00CA383F" w14:paraId="08B390F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393A83F4" w:rsidR="00251D51" w:rsidRPr="00C757D2" w:rsidRDefault="00B34FCB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E2D" w14:textId="58FE02A0" w:rsidR="00251D51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instalacja oraz uruchomienia kompletnego sprzętu w  pomieszczeniu wskazanym przez Zamawiającego,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40F5D33E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D38" w14:textId="14E4FD23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816" w14:textId="305B9B41" w:rsidR="00B34FCB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 xml:space="preserve">Wykonawca zapewni szkolenie podstawowe po instalacji urządzenia obejmujące </w:t>
            </w:r>
            <w:r>
              <w:rPr>
                <w:rFonts w:ascii="Cambria" w:hAnsi="Cambria"/>
              </w:rPr>
              <w:t>obsługę techniczną urządzenia,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D6A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B3A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26CE8B0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CD4" w14:textId="2FCFE4DC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98C" w14:textId="3417A319" w:rsidR="00B34FCB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Zamawiający nie będzie zobowiązany do przechowywania jakichkolwiek opakowań transportowych systemu, opakowania transportowe zostaną zabrane przez Wykonawcę po instalacji systemu i będą one przez niego przechowywane o ile zaistnieje taka konieczność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31C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514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689251B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115" w14:textId="558B87CA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5F5" w14:textId="0394A9D2" w:rsidR="00B34FCB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>
              <w:rPr>
                <w:rFonts w:ascii="Cambria" w:hAnsi="Cambria"/>
                <w:sz w:val="22"/>
                <w:szCs w:val="22"/>
              </w:rPr>
              <w:t>dres dostawy: Międzynarodowy Instytut Biologii Molekularnej i Komórkowej w Warszawie, ul. Ks. Trojdena 4, 02-109 Warszawa,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BBD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34B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090017D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901" w14:textId="64E52F3D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A31" w14:textId="59854913" w:rsidR="00B34FCB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termin realizacji – do 10 tygodni.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093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8C5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77F2CAAE" w14:textId="77777777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38567EEE" w14:textId="77777777" w:rsidR="0094445A" w:rsidRDefault="0094445A" w:rsidP="00682991">
      <w:pPr>
        <w:jc w:val="both"/>
        <w:rPr>
          <w:rFonts w:ascii="Cambria" w:hAnsi="Cambria"/>
        </w:rPr>
      </w:pPr>
    </w:p>
    <w:p w14:paraId="4F137F41" w14:textId="0E152A87" w:rsidR="0094445A" w:rsidRPr="00E61876" w:rsidRDefault="0094445A" w:rsidP="0057251F">
      <w:pPr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  <w:footnote w:id="1">
    <w:p w14:paraId="5C918375" w14:textId="77777777" w:rsidR="00F734CE" w:rsidRDefault="00F734CE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734CE" w:rsidRDefault="00F734CE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4EE5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51F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799B-654D-4B5F-B8AB-BF1C3DE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2020-12-16T12:39:00Z</dcterms:created>
  <dcterms:modified xsi:type="dcterms:W3CDTF">2020-12-16T12:39:00Z</dcterms:modified>
</cp:coreProperties>
</file>